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E" w:rsidRPr="00970E43" w:rsidRDefault="00700E2E" w:rsidP="0070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 xml:space="preserve">МАТЕРИАЛЫ ДЛЯ ПРОВЕДЕНИЯ ОБРАЗОВАТЕЛЬНЫХ МЕРОПРИЯТИЙ С </w:t>
      </w:r>
      <w:proofErr w:type="gramStart"/>
      <w:r w:rsidRPr="00970E43">
        <w:rPr>
          <w:rFonts w:ascii="Times New Roman" w:hAnsi="Times New Roman" w:cs="Times New Roman"/>
          <w:b/>
          <w:iCs/>
          <w:sz w:val="24"/>
          <w:szCs w:val="24"/>
        </w:rPr>
        <w:t>ОБУЧАЮЩИМИСЯ</w:t>
      </w:r>
      <w:proofErr w:type="gramEnd"/>
    </w:p>
    <w:p w:rsidR="00700E2E" w:rsidRPr="00970E43" w:rsidRDefault="00700E2E" w:rsidP="0070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>Классный час «</w:t>
      </w: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Невидимый мир вирусов и микроорганизмов. Как избежать инфекции в условиях </w:t>
      </w:r>
      <w:proofErr w:type="spellStart"/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инфекции»</w:t>
      </w:r>
    </w:p>
    <w:p w:rsidR="00700E2E" w:rsidRPr="00D47AAC" w:rsidRDefault="00700E2E" w:rsidP="0070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Cs/>
          <w:sz w:val="24"/>
          <w:szCs w:val="24"/>
        </w:rPr>
        <w:t>(для обучающихся 5-7 классов)</w:t>
      </w:r>
    </w:p>
    <w:p w:rsidR="00700E2E" w:rsidRPr="00970E43" w:rsidRDefault="00700E2E" w:rsidP="0070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Задачи классного часа:</w:t>
      </w:r>
    </w:p>
    <w:p w:rsidR="00700E2E" w:rsidRPr="00970E43" w:rsidRDefault="00700E2E" w:rsidP="00700E2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Иметь представление о разнообразии невидимого глазом микромира и его влиянии на здоровье человека.</w:t>
      </w:r>
    </w:p>
    <w:p w:rsidR="00700E2E" w:rsidRPr="00970E43" w:rsidRDefault="00700E2E" w:rsidP="00700E2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Знать основные группы микроорганизмов: вирусы, бактерии, микроскопические грибы, простейшие.</w:t>
      </w:r>
    </w:p>
    <w:p w:rsidR="00700E2E" w:rsidRPr="00970E43" w:rsidRDefault="00700E2E" w:rsidP="00700E2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Знать, что такое «инфекция».</w:t>
      </w:r>
    </w:p>
    <w:p w:rsidR="00700E2E" w:rsidRPr="00970E43" w:rsidRDefault="00700E2E" w:rsidP="00700E2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Уметь объяснять и использовать способы предупреждения инфекционных болезней на примере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План проведения:</w:t>
      </w:r>
    </w:p>
    <w:p w:rsidR="00700E2E" w:rsidRPr="00970E43" w:rsidRDefault="00700E2E" w:rsidP="00700E2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Факторы живой и неживой природы (фронтальная беседа).</w:t>
      </w:r>
    </w:p>
    <w:p w:rsidR="00700E2E" w:rsidRPr="00970E43" w:rsidRDefault="00700E2E" w:rsidP="00700E2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Объекты живой природы и здоровье человека (работа с таблицей).</w:t>
      </w:r>
    </w:p>
    <w:p w:rsidR="00700E2E" w:rsidRPr="00970E43" w:rsidRDefault="00700E2E" w:rsidP="00700E2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Микромир и здоровье человека. Понятие инфекции.</w:t>
      </w:r>
    </w:p>
    <w:p w:rsidR="00700E2E" w:rsidRPr="00970E43" w:rsidRDefault="00700E2E" w:rsidP="00700E2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Правила, препятствующие распространению инфекционных заболеваний на примере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инфекции (групповая работа, обсуждение, формулирование личных и общественных правил поведения).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0E43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учителя.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В начале проведения классного часа с </w:t>
      </w:r>
      <w:proofErr w:type="gramStart"/>
      <w:r w:rsidRPr="00970E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0E43">
        <w:rPr>
          <w:rFonts w:ascii="Times New Roman" w:hAnsi="Times New Roman" w:cs="Times New Roman"/>
          <w:sz w:val="24"/>
          <w:szCs w:val="24"/>
        </w:rPr>
        <w:t xml:space="preserve"> целесообразно вспомнить факторы живой и неживой природы. Затем рассматриваются объекты живой природы и их влияние на здоровье человека. </w:t>
      </w:r>
      <w:proofErr w:type="gramStart"/>
      <w:r w:rsidRPr="00970E43">
        <w:rPr>
          <w:rFonts w:ascii="Times New Roman" w:hAnsi="Times New Roman" w:cs="Times New Roman"/>
          <w:sz w:val="24"/>
          <w:szCs w:val="24"/>
        </w:rPr>
        <w:t>Изучая информацию о живой природе, необходимо выяснить, что существуют объекты, видимые нами (макро - «большой» мир), и объекты, невидимые невооруженным человеческим глазом, (микро – «малый» мир).</w:t>
      </w:r>
      <w:proofErr w:type="gramEnd"/>
      <w:r w:rsidRPr="00970E43">
        <w:rPr>
          <w:rFonts w:ascii="Times New Roman" w:hAnsi="Times New Roman" w:cs="Times New Roman"/>
          <w:sz w:val="24"/>
          <w:szCs w:val="24"/>
        </w:rPr>
        <w:t xml:space="preserve"> Специальным прибором, позволяющим увидеть объекты микромира, является микроскоп. Если есть возможность, то лучше продемонстрировать школьникам с помощью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оборудования на большом экране, например, зубной налет или другой микропрепарат.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Необходимо сделать акцент при объяснении на том, что объекты макро- и микромира значимы для здоровья человека, и на основе этого кратко разобрать с ребятами конкретные примеры, выявив влияние этих объектов на здоровье, записав материал на доске и в тетрадях в виде таблицы, размещенной ниже.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Объект живой природы</w:t>
            </w:r>
          </w:p>
        </w:tc>
        <w:tc>
          <w:tcPr>
            <w:tcW w:w="3190" w:type="dxa"/>
            <w:gridSpan w:val="2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3191" w:type="dxa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Влияние на здоровье человека</w:t>
            </w:r>
          </w:p>
        </w:tc>
      </w:tr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Целесообразно выяснить с </w:t>
      </w:r>
      <w:proofErr w:type="gramStart"/>
      <w:r w:rsidRPr="00970E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0E43">
        <w:rPr>
          <w:rFonts w:ascii="Times New Roman" w:hAnsi="Times New Roman" w:cs="Times New Roman"/>
          <w:sz w:val="24"/>
          <w:szCs w:val="24"/>
        </w:rPr>
        <w:t xml:space="preserve">, что влияние объектов макромира более понятно и объяснимо для нас, отметив их разнообразие. При этом надо указать большое влияние микроорганизмов на здоровье человека. Обратить внимание </w:t>
      </w:r>
      <w:proofErr w:type="gramStart"/>
      <w:r w:rsidRPr="00970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E43">
        <w:rPr>
          <w:rFonts w:ascii="Times New Roman" w:hAnsi="Times New Roman" w:cs="Times New Roman"/>
          <w:sz w:val="24"/>
          <w:szCs w:val="24"/>
        </w:rPr>
        <w:t xml:space="preserve"> на то, что мы не видим микроорганизмы. Вместе с тем, поселяясь в теле, или на его поверхности, они приводят к возникновению различных заболеваний (инфекциями). Вводится понятие «инфекции», которая является заболеванием, легко передающимся от человека к человеку. Нередко инфекции называют заразными заболеваниями.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lastRenderedPageBreak/>
        <w:t>Далее на основе фронтального опроса обучающихся нужно выяснить, какие инфекционные заболевания знают школьники, записать их названия на доске и вместе попробовать классифицировать их.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Первым основанием для классификации может быть деление заболеваний </w:t>
      </w:r>
      <w:proofErr w:type="gramStart"/>
      <w:r w:rsidRPr="00970E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0E43">
        <w:rPr>
          <w:rFonts w:ascii="Times New Roman" w:hAnsi="Times New Roman" w:cs="Times New Roman"/>
          <w:sz w:val="24"/>
          <w:szCs w:val="24"/>
        </w:rPr>
        <w:t xml:space="preserve"> заразные (инфекционные) и незаразные (неинфекционные). 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Вторым основанием может быть категория (вид) организмов. Обучающиеся уже знают из программы начального основного образования, что в природе существуют вирусы, бактерии и грибы. Можно показать это на конкретных примерах в таблице, размещенной ниже по тексту.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3190" w:type="dxa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Организм, вызывающий заболевание</w:t>
            </w:r>
          </w:p>
        </w:tc>
        <w:tc>
          <w:tcPr>
            <w:tcW w:w="3191" w:type="dxa"/>
          </w:tcPr>
          <w:p w:rsidR="00700E2E" w:rsidRPr="00970E43" w:rsidRDefault="00700E2E" w:rsidP="00F6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43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для человека</w:t>
            </w:r>
          </w:p>
        </w:tc>
      </w:tr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2E" w:rsidRPr="00970E43" w:rsidTr="00F66E0B"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0E2E" w:rsidRPr="00970E43" w:rsidRDefault="00700E2E" w:rsidP="00F66E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После заполнения таблицы учитель задает школьникам вопрос: «В каких случаях человек заболевает инфекционными болезнями?». Обучающихся необходимо подвести к выводу о том, что одной из причин заражения является нарушение правил личной гигиены. Здесь могут быть уместны стихи Г.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«Вредные советы». На основе данного материала предлагается разобрать правила предотвращения инфекции на примере актуального заболевания нынешнего времени, вызванного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инфекцией (вирус 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 xml:space="preserve">-19). 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Отвечая на вопрос: «Как избежать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инфекции» - обучающиеся называют пути профилактики данного заболевания, которые потом запишут в тетрадях. При этом может быть организована работа в группах: две группы формулируют «правила личной гигиены», а оставшиеся 2 группы школьников – «правила профилактики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0E43">
        <w:rPr>
          <w:rFonts w:ascii="Times New Roman" w:hAnsi="Times New Roman" w:cs="Times New Roman"/>
          <w:sz w:val="24"/>
          <w:szCs w:val="24"/>
        </w:rPr>
        <w:t xml:space="preserve"> инфекции в общественных местах». Затем проводится общее обсуждение, на основе которого формулируются общие правила поведения, направленные на снижение рисков заражения инфекционными заболеваниями в том числе, вызванными </w:t>
      </w:r>
      <w:proofErr w:type="spellStart"/>
      <w:r w:rsidRPr="00970E43">
        <w:rPr>
          <w:rFonts w:ascii="Times New Roman" w:hAnsi="Times New Roman" w:cs="Times New Roman"/>
          <w:sz w:val="24"/>
          <w:szCs w:val="24"/>
        </w:rPr>
        <w:t>коронавирус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970E4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0E43">
        <w:rPr>
          <w:rFonts w:ascii="Times New Roman" w:hAnsi="Times New Roman" w:cs="Times New Roman"/>
          <w:sz w:val="24"/>
          <w:szCs w:val="24"/>
        </w:rPr>
        <w:t>-19. Они могут быть следующими: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Мыть руки после любого соприкосновения с разными поверхностями (поручнями, перилами, дверными ручками).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При отсутствии мыла и воды протирать руки дезинфицирующими растворами.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Промывать нос при возвращении домой из школы, супермаркета (магазина) и других общественных мест (можно водой с морской солью).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Надевать защитную маску в людных местах и на транспорте.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Проводить ежедневно влажную уборку помещения, протирать все поверхности: стол, дверные ручки, выключатели, сотовые телефоны и клавиатуру технических средств.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Минимизировать контакты с другими людьми: рукопожатия, поцелуи, объятия.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В общественных местах носить перчатки, чтобы не прикасаться голыми руками к поручням, перилам дверным ручкам, соблюдать дистанцию по отношению к другим людям.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Пользоваться личными полотенцами.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Избегать контактов людей, имеющих видимые признаки инфекции (кашель, чихание, насморк).</w:t>
      </w:r>
    </w:p>
    <w:p w:rsidR="00700E2E" w:rsidRPr="00970E43" w:rsidRDefault="00700E2E" w:rsidP="00700E2E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 xml:space="preserve"> При чихании и кашле закрывать рот и нос носовым платком, при отсутствии платка локтевым сгибом.</w:t>
      </w:r>
    </w:p>
    <w:p w:rsidR="00700E2E" w:rsidRPr="00970E43" w:rsidRDefault="00700E2E" w:rsidP="007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43">
        <w:rPr>
          <w:rFonts w:ascii="Times New Roman" w:hAnsi="Times New Roman" w:cs="Times New Roman"/>
          <w:sz w:val="24"/>
          <w:szCs w:val="24"/>
        </w:rPr>
        <w:t>Кроме этого, необходимо добавить, что кроме соблюдения личной и общественной гигиены необходимо укреплять иммунитет. Это могут быть: прогулки на свежем воздухе, закаливание, рациональное питание, регулярные занятия физической культурой и спортом. Можно напомнить также о проведении вакцинации в осенний период ля предотвращения развития болезни в зимний и весенний период.</w:t>
      </w:r>
    </w:p>
    <w:p w:rsidR="00700E2E" w:rsidRDefault="00700E2E" w:rsidP="00700E2E">
      <w:pPr>
        <w:widowControl w:val="0"/>
        <w:tabs>
          <w:tab w:val="left" w:pos="1312"/>
          <w:tab w:val="left" w:pos="2377"/>
          <w:tab w:val="left" w:pos="3472"/>
          <w:tab w:val="left" w:pos="4469"/>
          <w:tab w:val="left" w:pos="5132"/>
          <w:tab w:val="left" w:pos="6630"/>
          <w:tab w:val="left" w:pos="6947"/>
          <w:tab w:val="left" w:pos="79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DE7" w:rsidRDefault="00BA7DE7"/>
    <w:sectPr w:rsidR="00BA7DE7" w:rsidSect="00051FC7">
      <w:footerReference w:type="default" r:id="rId5"/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55737"/>
      <w:docPartObj>
        <w:docPartGallery w:val="Page Numbers (Bottom of Page)"/>
        <w:docPartUnique/>
      </w:docPartObj>
    </w:sdtPr>
    <w:sdtEndPr/>
    <w:sdtContent>
      <w:p w:rsidR="004A04DF" w:rsidRDefault="00BA7D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4DF" w:rsidRDefault="00BA7DE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06CB"/>
    <w:multiLevelType w:val="hybridMultilevel"/>
    <w:tmpl w:val="EE7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166"/>
    <w:multiLevelType w:val="hybridMultilevel"/>
    <w:tmpl w:val="D7BA81F4"/>
    <w:lvl w:ilvl="0" w:tplc="433E02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0388A"/>
    <w:multiLevelType w:val="singleLevel"/>
    <w:tmpl w:val="57C0C5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0E2E"/>
    <w:rsid w:val="00700E2E"/>
    <w:rsid w:val="00BA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E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00E2E"/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700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2020-10-13T16:42:00Z</dcterms:created>
  <dcterms:modified xsi:type="dcterms:W3CDTF">2020-10-13T16:43:00Z</dcterms:modified>
</cp:coreProperties>
</file>